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E33D3" w14:textId="77777777" w:rsidR="00D5547E" w:rsidRPr="009E51FC" w:rsidRDefault="00D5547E" w:rsidP="00653118">
      <w:pPr>
        <w:jc w:val="both"/>
      </w:pPr>
    </w:p>
    <w:tbl>
      <w:tblPr>
        <w:tblW w:w="0" w:type="auto"/>
        <w:tblInd w:w="108" w:type="dxa"/>
        <w:tblLayout w:type="fixed"/>
        <w:tblLook w:val="04A0" w:firstRow="1" w:lastRow="0" w:firstColumn="1" w:lastColumn="0" w:noHBand="0" w:noVBand="1"/>
      </w:tblPr>
      <w:tblGrid>
        <w:gridCol w:w="2438"/>
        <w:gridCol w:w="6406"/>
      </w:tblGrid>
      <w:tr w:rsidR="00CE544A" w:rsidRPr="00975B07" w14:paraId="630E33D6" w14:textId="77777777" w:rsidTr="005F7F7E">
        <w:tc>
          <w:tcPr>
            <w:tcW w:w="2438" w:type="dxa"/>
            <w:shd w:val="clear" w:color="auto" w:fill="auto"/>
          </w:tcPr>
          <w:p w14:paraId="630E33D4" w14:textId="77777777" w:rsidR="00F445B1" w:rsidRPr="00975B07" w:rsidRDefault="00F445B1" w:rsidP="00653118">
            <w:pPr>
              <w:jc w:val="both"/>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630E33D5" w14:textId="77777777" w:rsidR="00F445B1" w:rsidRPr="005C1483" w:rsidRDefault="00DB7AD7" w:rsidP="00653118">
            <w:pPr>
              <w:jc w:val="both"/>
              <w:rPr>
                <w:rStyle w:val="Firstpagetablebold"/>
                <w:b w:val="0"/>
              </w:rPr>
            </w:pPr>
            <w:r w:rsidRPr="005C1483">
              <w:rPr>
                <w:rStyle w:val="Firstpagetablebold"/>
                <w:b w:val="0"/>
              </w:rPr>
              <w:t>Cabinet</w:t>
            </w:r>
          </w:p>
        </w:tc>
      </w:tr>
      <w:tr w:rsidR="00CE544A" w:rsidRPr="00975B07" w14:paraId="630E33D9" w14:textId="77777777" w:rsidTr="005F7F7E">
        <w:tc>
          <w:tcPr>
            <w:tcW w:w="2438" w:type="dxa"/>
            <w:shd w:val="clear" w:color="auto" w:fill="auto"/>
          </w:tcPr>
          <w:p w14:paraId="630E33D7" w14:textId="77777777" w:rsidR="00F445B1" w:rsidRPr="00975B07" w:rsidRDefault="00F445B1" w:rsidP="00653118">
            <w:pPr>
              <w:jc w:val="both"/>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630E33D8" w14:textId="216FE6BE" w:rsidR="00F445B1" w:rsidRPr="005C1483" w:rsidRDefault="00601B26" w:rsidP="00601B26">
            <w:pPr>
              <w:jc w:val="both"/>
            </w:pPr>
            <w:r w:rsidRPr="00601B26">
              <w:rPr>
                <w:color w:val="000000" w:themeColor="text1"/>
              </w:rPr>
              <w:t>13 December 2023</w:t>
            </w:r>
          </w:p>
        </w:tc>
      </w:tr>
      <w:tr w:rsidR="00CE544A" w:rsidRPr="00975B07" w14:paraId="630E33DC" w14:textId="77777777" w:rsidTr="005F7F7E">
        <w:tc>
          <w:tcPr>
            <w:tcW w:w="2438" w:type="dxa"/>
            <w:shd w:val="clear" w:color="auto" w:fill="auto"/>
          </w:tcPr>
          <w:p w14:paraId="630E33DA" w14:textId="77777777" w:rsidR="00F445B1" w:rsidRPr="00975B07" w:rsidRDefault="00F445B1" w:rsidP="00653118">
            <w:pPr>
              <w:jc w:val="both"/>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630E33DB" w14:textId="2AB89668" w:rsidR="00F445B1" w:rsidRPr="005C1483" w:rsidRDefault="005C1483" w:rsidP="00653118">
            <w:pPr>
              <w:jc w:val="both"/>
              <w:rPr>
                <w:rStyle w:val="Firstpagetablebold"/>
                <w:b w:val="0"/>
              </w:rPr>
            </w:pPr>
            <w:r w:rsidRPr="005C1483">
              <w:rPr>
                <w:rStyle w:val="Firstpagetablebold"/>
                <w:b w:val="0"/>
              </w:rPr>
              <w:t>Head of Corporate Strategy</w:t>
            </w:r>
          </w:p>
        </w:tc>
      </w:tr>
      <w:tr w:rsidR="00CE544A" w:rsidRPr="00975B07" w14:paraId="630E33DF" w14:textId="77777777" w:rsidTr="005F7F7E">
        <w:tc>
          <w:tcPr>
            <w:tcW w:w="2438" w:type="dxa"/>
            <w:shd w:val="clear" w:color="auto" w:fill="auto"/>
          </w:tcPr>
          <w:p w14:paraId="630E33DD" w14:textId="77777777" w:rsidR="00F445B1" w:rsidRPr="00975B07" w:rsidRDefault="00F445B1" w:rsidP="00653118">
            <w:pPr>
              <w:jc w:val="both"/>
              <w:rPr>
                <w:rStyle w:val="Firstpagetablebold"/>
              </w:rPr>
            </w:pPr>
            <w:r w:rsidRPr="00975B07">
              <w:rPr>
                <w:rStyle w:val="Firstpagetablebold"/>
              </w:rPr>
              <w:t xml:space="preserve">Title of Report: </w:t>
            </w:r>
          </w:p>
        </w:tc>
        <w:tc>
          <w:tcPr>
            <w:tcW w:w="6406" w:type="dxa"/>
            <w:shd w:val="clear" w:color="auto" w:fill="auto"/>
          </w:tcPr>
          <w:p w14:paraId="630E33DE" w14:textId="3FA758EA" w:rsidR="00F445B1" w:rsidRPr="001356F1" w:rsidRDefault="00950A7D" w:rsidP="00653118">
            <w:pPr>
              <w:jc w:val="both"/>
              <w:rPr>
                <w:rStyle w:val="Firstpagetablebold"/>
              </w:rPr>
            </w:pPr>
            <w:r>
              <w:t>Review of</w:t>
            </w:r>
            <w:r w:rsidR="005C1483">
              <w:t xml:space="preserve"> </w:t>
            </w:r>
            <w:r w:rsidR="005C1483">
              <w:rPr>
                <w:szCs w:val="22"/>
              </w:rPr>
              <w:t xml:space="preserve">Glyphosate </w:t>
            </w:r>
            <w:r>
              <w:rPr>
                <w:szCs w:val="22"/>
              </w:rPr>
              <w:t xml:space="preserve">use </w:t>
            </w:r>
            <w:r w:rsidR="005C1483">
              <w:rPr>
                <w:szCs w:val="22"/>
              </w:rPr>
              <w:t>by Oxford Direct Services to manage weeds on behalf of Oxford City Council.</w:t>
            </w:r>
          </w:p>
        </w:tc>
      </w:tr>
    </w:tbl>
    <w:p w14:paraId="630E33E0"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630E33E2" w14:textId="77777777" w:rsidTr="707DE9A2">
        <w:tc>
          <w:tcPr>
            <w:tcW w:w="8845" w:type="dxa"/>
            <w:gridSpan w:val="2"/>
            <w:tcBorders>
              <w:bottom w:val="single" w:sz="8" w:space="0" w:color="000000" w:themeColor="text1"/>
            </w:tcBorders>
            <w:hideMark/>
          </w:tcPr>
          <w:p w14:paraId="630E33E1"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630E33E5" w14:textId="77777777" w:rsidTr="707DE9A2">
        <w:tc>
          <w:tcPr>
            <w:tcW w:w="2438" w:type="dxa"/>
            <w:tcBorders>
              <w:top w:val="single" w:sz="8" w:space="0" w:color="000000" w:themeColor="text1"/>
              <w:left w:val="single" w:sz="8" w:space="0" w:color="000000" w:themeColor="text1"/>
              <w:bottom w:val="nil"/>
              <w:right w:val="nil"/>
            </w:tcBorders>
            <w:hideMark/>
          </w:tcPr>
          <w:p w14:paraId="630E33E3" w14:textId="77777777" w:rsidR="00D5547E" w:rsidRDefault="00D5547E" w:rsidP="00653118">
            <w:pPr>
              <w:jc w:val="both"/>
              <w:rPr>
                <w:rStyle w:val="Firstpagetablebold"/>
              </w:rPr>
            </w:pPr>
            <w:r>
              <w:rPr>
                <w:rStyle w:val="Firstpagetablebold"/>
              </w:rPr>
              <w:t>Purpose of report:</w:t>
            </w:r>
          </w:p>
        </w:tc>
        <w:tc>
          <w:tcPr>
            <w:tcW w:w="6407" w:type="dxa"/>
            <w:tcBorders>
              <w:top w:val="single" w:sz="8" w:space="0" w:color="000000" w:themeColor="text1"/>
              <w:left w:val="nil"/>
              <w:bottom w:val="nil"/>
              <w:right w:val="single" w:sz="8" w:space="0" w:color="000000" w:themeColor="text1"/>
            </w:tcBorders>
            <w:hideMark/>
          </w:tcPr>
          <w:p w14:paraId="630E33E4" w14:textId="76D31BF5" w:rsidR="00D5547E" w:rsidRPr="001356F1" w:rsidRDefault="17784B2B" w:rsidP="00950A7D">
            <w:pPr>
              <w:jc w:val="both"/>
            </w:pPr>
            <w:r>
              <w:t>To make r</w:t>
            </w:r>
            <w:r w:rsidR="17202378">
              <w:t>ecommendation</w:t>
            </w:r>
            <w:r w:rsidR="00950A7D">
              <w:t>s</w:t>
            </w:r>
            <w:r w:rsidR="17202378">
              <w:t xml:space="preserve"> </w:t>
            </w:r>
            <w:r>
              <w:t xml:space="preserve">to </w:t>
            </w:r>
            <w:r w:rsidR="17202378">
              <w:t xml:space="preserve">Cabinet </w:t>
            </w:r>
            <w:r w:rsidR="00950A7D">
              <w:t xml:space="preserve">over </w:t>
            </w:r>
            <w:r>
              <w:t xml:space="preserve">the use of Glyphosate by Oxford Direct Services to </w:t>
            </w:r>
            <w:r w:rsidR="162457B0">
              <w:t>control</w:t>
            </w:r>
            <w:r>
              <w:t xml:space="preserve"> weeds on behalf of Oxford City Council.</w:t>
            </w:r>
          </w:p>
        </w:tc>
      </w:tr>
      <w:tr w:rsidR="00D5547E" w14:paraId="630E33E8" w14:textId="77777777" w:rsidTr="707DE9A2">
        <w:tc>
          <w:tcPr>
            <w:tcW w:w="2438" w:type="dxa"/>
            <w:tcBorders>
              <w:top w:val="nil"/>
              <w:left w:val="single" w:sz="8" w:space="0" w:color="000000" w:themeColor="text1"/>
              <w:bottom w:val="nil"/>
              <w:right w:val="nil"/>
            </w:tcBorders>
            <w:hideMark/>
          </w:tcPr>
          <w:p w14:paraId="630E33E6" w14:textId="77777777" w:rsidR="00D5547E" w:rsidRDefault="00D5547E" w:rsidP="00653118">
            <w:pPr>
              <w:jc w:val="both"/>
              <w:rPr>
                <w:rStyle w:val="Firstpagetablebold"/>
              </w:rPr>
            </w:pPr>
            <w:r>
              <w:rPr>
                <w:rStyle w:val="Firstpagetablebold"/>
              </w:rPr>
              <w:t>Key decision:</w:t>
            </w:r>
          </w:p>
        </w:tc>
        <w:tc>
          <w:tcPr>
            <w:tcW w:w="6407" w:type="dxa"/>
            <w:tcBorders>
              <w:top w:val="nil"/>
              <w:left w:val="nil"/>
              <w:bottom w:val="nil"/>
              <w:right w:val="single" w:sz="8" w:space="0" w:color="000000" w:themeColor="text1"/>
            </w:tcBorders>
            <w:hideMark/>
          </w:tcPr>
          <w:p w14:paraId="630E33E7" w14:textId="291CA757" w:rsidR="00D5547E" w:rsidRPr="001356F1" w:rsidRDefault="00D5547E" w:rsidP="00653118">
            <w:pPr>
              <w:jc w:val="both"/>
            </w:pPr>
            <w:r w:rsidRPr="000D0A34">
              <w:rPr>
                <w:color w:val="auto"/>
              </w:rPr>
              <w:t>No</w:t>
            </w:r>
          </w:p>
        </w:tc>
      </w:tr>
      <w:tr w:rsidR="00D5547E" w14:paraId="630E33EB" w14:textId="77777777" w:rsidTr="707DE9A2">
        <w:tc>
          <w:tcPr>
            <w:tcW w:w="2438" w:type="dxa"/>
            <w:tcBorders>
              <w:top w:val="nil"/>
              <w:left w:val="single" w:sz="8" w:space="0" w:color="000000" w:themeColor="text1"/>
              <w:bottom w:val="nil"/>
              <w:right w:val="nil"/>
            </w:tcBorders>
            <w:hideMark/>
          </w:tcPr>
          <w:p w14:paraId="630E33E9" w14:textId="77777777" w:rsidR="00D5547E" w:rsidRDefault="00D860E2" w:rsidP="00653118">
            <w:pPr>
              <w:jc w:val="both"/>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hemeColor="text1"/>
            </w:tcBorders>
            <w:hideMark/>
          </w:tcPr>
          <w:p w14:paraId="18D80A4F" w14:textId="3296692D" w:rsidR="000D0A34" w:rsidRDefault="00D5547E" w:rsidP="00653118">
            <w:pPr>
              <w:jc w:val="both"/>
            </w:pPr>
            <w:r w:rsidRPr="001356F1">
              <w:t xml:space="preserve">Councillor </w:t>
            </w:r>
            <w:r w:rsidR="000D0A34">
              <w:t>Nigel Chapman</w:t>
            </w:r>
            <w:r w:rsidR="00274F00">
              <w:t xml:space="preserve"> Cabinet Members for Citizen Focused Services and Council </w:t>
            </w:r>
            <w:proofErr w:type="gramStart"/>
            <w:r w:rsidR="00274F00">
              <w:t>Companies;</w:t>
            </w:r>
            <w:proofErr w:type="gramEnd"/>
          </w:p>
          <w:p w14:paraId="630E33EA" w14:textId="01BA0D64" w:rsidR="00D5547E" w:rsidRPr="001356F1" w:rsidRDefault="000D0A34" w:rsidP="00653118">
            <w:pPr>
              <w:jc w:val="both"/>
            </w:pPr>
            <w:r>
              <w:t>Councillor Anna Railton (Cabinet Member for Zero Carbon Oxford and Climate Justice)</w:t>
            </w:r>
            <w:r w:rsidR="00274F00">
              <w:t>.</w:t>
            </w:r>
          </w:p>
        </w:tc>
      </w:tr>
      <w:tr w:rsidR="0080749A" w14:paraId="630E33EE" w14:textId="77777777" w:rsidTr="707DE9A2">
        <w:tc>
          <w:tcPr>
            <w:tcW w:w="2438" w:type="dxa"/>
            <w:tcBorders>
              <w:top w:val="nil"/>
              <w:left w:val="single" w:sz="8" w:space="0" w:color="000000" w:themeColor="text1"/>
              <w:bottom w:val="nil"/>
              <w:right w:val="nil"/>
            </w:tcBorders>
          </w:tcPr>
          <w:p w14:paraId="630E33EC" w14:textId="33103A56" w:rsidR="0080749A" w:rsidRDefault="0080749A" w:rsidP="00653118">
            <w:pPr>
              <w:jc w:val="both"/>
              <w:rPr>
                <w:rStyle w:val="Firstpagetablebold"/>
              </w:rPr>
            </w:pPr>
            <w:r>
              <w:rPr>
                <w:rStyle w:val="Firstpagetablebold"/>
              </w:rPr>
              <w:t>Corporate Priority:</w:t>
            </w:r>
          </w:p>
        </w:tc>
        <w:tc>
          <w:tcPr>
            <w:tcW w:w="6407" w:type="dxa"/>
            <w:tcBorders>
              <w:top w:val="nil"/>
              <w:left w:val="nil"/>
              <w:bottom w:val="nil"/>
              <w:right w:val="single" w:sz="8" w:space="0" w:color="000000" w:themeColor="text1"/>
            </w:tcBorders>
          </w:tcPr>
          <w:p w14:paraId="1B90B81C" w14:textId="4F4DBA90" w:rsidR="0080749A" w:rsidRDefault="000D0A34" w:rsidP="00653118">
            <w:pPr>
              <w:jc w:val="both"/>
            </w:pPr>
            <w:r>
              <w:t xml:space="preserve">Pursue a zero carbon </w:t>
            </w:r>
            <w:proofErr w:type="gramStart"/>
            <w:r>
              <w:t>Oxford</w:t>
            </w:r>
            <w:r w:rsidR="00274F00">
              <w:t>;</w:t>
            </w:r>
            <w:proofErr w:type="gramEnd"/>
          </w:p>
          <w:p w14:paraId="630E33ED" w14:textId="0D521D13" w:rsidR="000D0A34" w:rsidRPr="001356F1" w:rsidRDefault="39ADB43E" w:rsidP="005B62CB">
            <w:pPr>
              <w:spacing w:line="259" w:lineRule="auto"/>
              <w:jc w:val="both"/>
            </w:pPr>
            <w:r>
              <w:t>Well-run Council</w:t>
            </w:r>
          </w:p>
        </w:tc>
      </w:tr>
      <w:tr w:rsidR="00D5547E" w14:paraId="630E33F1" w14:textId="77777777" w:rsidTr="707DE9A2">
        <w:tc>
          <w:tcPr>
            <w:tcW w:w="2438" w:type="dxa"/>
            <w:tcBorders>
              <w:top w:val="nil"/>
              <w:left w:val="single" w:sz="8" w:space="0" w:color="000000" w:themeColor="text1"/>
              <w:bottom w:val="single" w:sz="4" w:space="0" w:color="auto"/>
              <w:right w:val="nil"/>
            </w:tcBorders>
            <w:hideMark/>
          </w:tcPr>
          <w:p w14:paraId="630E33EF" w14:textId="19F3C166" w:rsidR="00D5547E" w:rsidRDefault="00D5547E" w:rsidP="00653118">
            <w:pPr>
              <w:jc w:val="both"/>
              <w:rPr>
                <w:rStyle w:val="Firstpagetablebold"/>
              </w:rPr>
            </w:pPr>
            <w:r>
              <w:rPr>
                <w:rStyle w:val="Firstpagetablebold"/>
              </w:rPr>
              <w:t>Policy Framework:</w:t>
            </w:r>
          </w:p>
        </w:tc>
        <w:tc>
          <w:tcPr>
            <w:tcW w:w="6407" w:type="dxa"/>
            <w:tcBorders>
              <w:top w:val="nil"/>
              <w:left w:val="nil"/>
              <w:bottom w:val="single" w:sz="4" w:space="0" w:color="auto"/>
              <w:right w:val="single" w:sz="8" w:space="0" w:color="000000" w:themeColor="text1"/>
            </w:tcBorders>
            <w:hideMark/>
          </w:tcPr>
          <w:p w14:paraId="630E33F0" w14:textId="54C49A32" w:rsidR="00D5547E" w:rsidRPr="001356F1" w:rsidRDefault="00274F00" w:rsidP="00653118">
            <w:pPr>
              <w:jc w:val="both"/>
            </w:pPr>
            <w:r>
              <w:t>Corporate Strategy 2020</w:t>
            </w:r>
            <w:r w:rsidR="00342AFD">
              <w:t xml:space="preserve"> -</w:t>
            </w:r>
            <w:r>
              <w:t>2024</w:t>
            </w:r>
          </w:p>
        </w:tc>
      </w:tr>
    </w:tbl>
    <w:p w14:paraId="630E33F2" w14:textId="77777777" w:rsidR="00CE544A" w:rsidRDefault="00CE544A"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tblBorders>
        <w:tblLook w:val="04A0" w:firstRow="1" w:lastRow="0" w:firstColumn="1" w:lastColumn="0" w:noHBand="0" w:noVBand="1"/>
      </w:tblPr>
      <w:tblGrid>
        <w:gridCol w:w="426"/>
        <w:gridCol w:w="8419"/>
      </w:tblGrid>
      <w:tr w:rsidR="0097170F" w:rsidRPr="00975B07" w14:paraId="630E33F4" w14:textId="77777777" w:rsidTr="0055257B">
        <w:trPr>
          <w:trHeight w:val="413"/>
        </w:trPr>
        <w:tc>
          <w:tcPr>
            <w:tcW w:w="8845" w:type="dxa"/>
            <w:gridSpan w:val="2"/>
            <w:tcBorders>
              <w:bottom w:val="single" w:sz="8" w:space="0" w:color="000000"/>
            </w:tcBorders>
          </w:tcPr>
          <w:p w14:paraId="630E33F3" w14:textId="3C4DDF18" w:rsidR="0097170F" w:rsidRPr="00975B07" w:rsidRDefault="0097170F" w:rsidP="00653118">
            <w:pPr>
              <w:jc w:val="both"/>
            </w:pPr>
            <w:r>
              <w:rPr>
                <w:rStyle w:val="Firstpagetablebold"/>
              </w:rPr>
              <w:t>Recommendations:</w:t>
            </w:r>
            <w:r w:rsidR="00342AFD">
              <w:rPr>
                <w:rStyle w:val="Firstpagetablebold"/>
              </w:rPr>
              <w:t xml:space="preserve"> </w:t>
            </w:r>
            <w:r w:rsidRPr="008954DF">
              <w:rPr>
                <w:rStyle w:val="Firstpagetablebold"/>
                <w:b w:val="0"/>
              </w:rPr>
              <w:t>That Cabinet resolves to:</w:t>
            </w:r>
          </w:p>
        </w:tc>
      </w:tr>
      <w:tr w:rsidR="0097170F" w:rsidRPr="00975B07" w14:paraId="630E33F7" w14:textId="77777777" w:rsidTr="0055257B">
        <w:trPr>
          <w:trHeight w:val="283"/>
        </w:trPr>
        <w:tc>
          <w:tcPr>
            <w:tcW w:w="426" w:type="dxa"/>
            <w:tcBorders>
              <w:bottom w:val="nil"/>
            </w:tcBorders>
          </w:tcPr>
          <w:p w14:paraId="630E33F5" w14:textId="77777777" w:rsidR="0097170F" w:rsidRPr="00975B07" w:rsidRDefault="0097170F" w:rsidP="00653118">
            <w:pPr>
              <w:jc w:val="both"/>
            </w:pPr>
            <w:r w:rsidRPr="00975B07">
              <w:t>1.</w:t>
            </w:r>
          </w:p>
        </w:tc>
        <w:tc>
          <w:tcPr>
            <w:tcW w:w="8419" w:type="dxa"/>
            <w:tcBorders>
              <w:bottom w:val="nil"/>
            </w:tcBorders>
            <w:shd w:val="clear" w:color="auto" w:fill="auto"/>
          </w:tcPr>
          <w:p w14:paraId="630E33F6" w14:textId="131DFF11" w:rsidR="0097170F" w:rsidRPr="001356F1" w:rsidRDefault="00297311" w:rsidP="00653118">
            <w:pPr>
              <w:jc w:val="both"/>
            </w:pPr>
            <w:r w:rsidRPr="00342AFD">
              <w:rPr>
                <w:b/>
                <w:bCs/>
              </w:rPr>
              <w:t>Approve</w:t>
            </w:r>
            <w:r>
              <w:t xml:space="preserve"> that the Council continue</w:t>
            </w:r>
            <w:r w:rsidR="00342AFD">
              <w:t>s</w:t>
            </w:r>
            <w:r>
              <w:t xml:space="preserve"> to use </w:t>
            </w:r>
            <w:r w:rsidR="3D2B2939">
              <w:t>G</w:t>
            </w:r>
            <w:r>
              <w:t>lyphosate for its current limited purpose</w:t>
            </w:r>
            <w:r w:rsidR="00342AFD">
              <w:t>s</w:t>
            </w:r>
            <w:r>
              <w:t xml:space="preserve"> </w:t>
            </w:r>
            <w:r w:rsidR="09391021">
              <w:t xml:space="preserve">with this position kept under periodic review </w:t>
            </w:r>
            <w:r>
              <w:t>until such point</w:t>
            </w:r>
            <w:r w:rsidR="00342AFD">
              <w:t xml:space="preserve"> as</w:t>
            </w:r>
            <w:r>
              <w:t xml:space="preserve"> Government changes its </w:t>
            </w:r>
            <w:r w:rsidR="003C0D1D">
              <w:t>advice</w:t>
            </w:r>
            <w:r>
              <w:t xml:space="preserve"> on use of this herbicide, or another viable, </w:t>
            </w:r>
            <w:proofErr w:type="gramStart"/>
            <w:r w:rsidR="17370C7E">
              <w:t>economic</w:t>
            </w:r>
            <w:proofErr w:type="gramEnd"/>
            <w:r w:rsidR="17370C7E">
              <w:t xml:space="preserve"> and </w:t>
            </w:r>
            <w:r>
              <w:t>effective treatment emerges</w:t>
            </w:r>
            <w:r w:rsidR="00342AFD">
              <w:t>; and</w:t>
            </w:r>
          </w:p>
        </w:tc>
      </w:tr>
      <w:tr w:rsidR="005305D6" w:rsidRPr="00975B07" w14:paraId="2941B682" w14:textId="77777777" w:rsidTr="0055257B">
        <w:trPr>
          <w:trHeight w:val="283"/>
        </w:trPr>
        <w:tc>
          <w:tcPr>
            <w:tcW w:w="426" w:type="dxa"/>
            <w:tcBorders>
              <w:top w:val="nil"/>
            </w:tcBorders>
          </w:tcPr>
          <w:p w14:paraId="286D8A65" w14:textId="59037397" w:rsidR="005305D6" w:rsidRPr="00975B07" w:rsidRDefault="005305D6" w:rsidP="00653118">
            <w:pPr>
              <w:jc w:val="both"/>
            </w:pPr>
            <w:r>
              <w:t>2.</w:t>
            </w:r>
          </w:p>
        </w:tc>
        <w:tc>
          <w:tcPr>
            <w:tcW w:w="8419" w:type="dxa"/>
            <w:tcBorders>
              <w:top w:val="nil"/>
            </w:tcBorders>
            <w:shd w:val="clear" w:color="auto" w:fill="auto"/>
          </w:tcPr>
          <w:p w14:paraId="0D62FAF1" w14:textId="7CD4408E" w:rsidR="005305D6" w:rsidRDefault="005305D6" w:rsidP="00653118">
            <w:pPr>
              <w:jc w:val="both"/>
            </w:pPr>
            <w:r w:rsidRPr="00342AFD">
              <w:rPr>
                <w:b/>
                <w:bCs/>
              </w:rPr>
              <w:t>Approve</w:t>
            </w:r>
            <w:r>
              <w:t xml:space="preserve"> </w:t>
            </w:r>
            <w:r w:rsidR="61131E5F">
              <w:t xml:space="preserve">that </w:t>
            </w:r>
            <w:r>
              <w:t>the us</w:t>
            </w:r>
            <w:r w:rsidR="6E6414FB">
              <w:t>ag</w:t>
            </w:r>
            <w:r>
              <w:t>e of Glyphosate to manage weed intrusion in paved surfaces is delivered uniformly across the city</w:t>
            </w:r>
            <w:r w:rsidR="6C5AE51F">
              <w:t xml:space="preserve"> to meet needs</w:t>
            </w:r>
            <w:r w:rsidR="1FC2B10D">
              <w:t>.</w:t>
            </w:r>
          </w:p>
        </w:tc>
      </w:tr>
    </w:tbl>
    <w:p w14:paraId="630E3404" w14:textId="77777777" w:rsidR="0097170F" w:rsidRPr="009E51FC" w:rsidRDefault="0097170F" w:rsidP="00653118">
      <w:pPr>
        <w:jc w:val="both"/>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tblBorders>
        <w:tblLook w:val="04A0" w:firstRow="1" w:lastRow="0" w:firstColumn="1" w:lastColumn="0" w:noHBand="0" w:noVBand="1"/>
      </w:tblPr>
      <w:tblGrid>
        <w:gridCol w:w="2438"/>
        <w:gridCol w:w="6406"/>
      </w:tblGrid>
      <w:tr w:rsidR="00966D42" w:rsidRPr="00975B07" w14:paraId="630E3406" w14:textId="77777777" w:rsidTr="00473E9B">
        <w:tc>
          <w:tcPr>
            <w:tcW w:w="8844" w:type="dxa"/>
            <w:gridSpan w:val="2"/>
            <w:shd w:val="clear" w:color="auto" w:fill="auto"/>
          </w:tcPr>
          <w:p w14:paraId="630E3405" w14:textId="77777777" w:rsidR="00966D42" w:rsidRPr="00975B07" w:rsidRDefault="00966D42" w:rsidP="00342AFD">
            <w:pPr>
              <w:jc w:val="center"/>
            </w:pPr>
            <w:r w:rsidRPr="00745BF0">
              <w:rPr>
                <w:rStyle w:val="Firstpagetablebold"/>
              </w:rPr>
              <w:t>Appendices</w:t>
            </w:r>
          </w:p>
        </w:tc>
      </w:tr>
      <w:tr w:rsidR="00ED5860" w:rsidRPr="00975B07" w14:paraId="630E3409" w14:textId="77777777" w:rsidTr="00473E9B">
        <w:tc>
          <w:tcPr>
            <w:tcW w:w="2438" w:type="dxa"/>
            <w:shd w:val="clear" w:color="auto" w:fill="auto"/>
          </w:tcPr>
          <w:p w14:paraId="630E3407" w14:textId="77777777" w:rsidR="00ED5860" w:rsidRPr="00975B07" w:rsidRDefault="00ED5860" w:rsidP="00653118">
            <w:pPr>
              <w:jc w:val="both"/>
            </w:pPr>
            <w:r w:rsidRPr="00975B07">
              <w:t>Appendix 1</w:t>
            </w:r>
          </w:p>
        </w:tc>
        <w:tc>
          <w:tcPr>
            <w:tcW w:w="6406" w:type="dxa"/>
          </w:tcPr>
          <w:p w14:paraId="630E3408" w14:textId="100576D5" w:rsidR="00ED5860" w:rsidRPr="001356F1" w:rsidRDefault="00473E9B" w:rsidP="00653118">
            <w:pPr>
              <w:jc w:val="both"/>
            </w:pPr>
            <w:r>
              <w:t>Alternative weed treatment review August 2023</w:t>
            </w:r>
          </w:p>
        </w:tc>
      </w:tr>
    </w:tbl>
    <w:p w14:paraId="7F590E1B" w14:textId="77777777" w:rsidR="005305D6" w:rsidRDefault="005305D6" w:rsidP="004A6D2F">
      <w:pPr>
        <w:pStyle w:val="Heading1"/>
      </w:pPr>
    </w:p>
    <w:p w14:paraId="167F1952" w14:textId="77777777" w:rsidR="005305D6" w:rsidRDefault="005305D6" w:rsidP="004A6D2F">
      <w:pPr>
        <w:pStyle w:val="Heading1"/>
      </w:pPr>
    </w:p>
    <w:p w14:paraId="630E3413" w14:textId="77777777" w:rsidR="0040736F" w:rsidRPr="001356F1" w:rsidRDefault="00F66DCA" w:rsidP="00653118">
      <w:pPr>
        <w:pStyle w:val="Heading1"/>
        <w:jc w:val="both"/>
      </w:pPr>
      <w:r w:rsidRPr="001356F1">
        <w:lastRenderedPageBreak/>
        <w:t>Introduction and b</w:t>
      </w:r>
      <w:r w:rsidR="00151888" w:rsidRPr="001356F1">
        <w:t>ackground</w:t>
      </w:r>
      <w:r w:rsidR="00404032" w:rsidRPr="001356F1">
        <w:t xml:space="preserve"> </w:t>
      </w:r>
    </w:p>
    <w:p w14:paraId="0EF0168D" w14:textId="5DE6BD8C" w:rsidR="00E74080" w:rsidRDefault="00E74080" w:rsidP="00653118">
      <w:pPr>
        <w:pStyle w:val="ListParagraph"/>
        <w:jc w:val="both"/>
      </w:pPr>
      <w:r w:rsidRPr="00DD6487">
        <w:t>O</w:t>
      </w:r>
      <w:r>
        <w:t xml:space="preserve">xford </w:t>
      </w:r>
      <w:r w:rsidRPr="00DD6487">
        <w:t>D</w:t>
      </w:r>
      <w:r>
        <w:t xml:space="preserve">irect </w:t>
      </w:r>
      <w:r w:rsidRPr="00DD6487">
        <w:t>S</w:t>
      </w:r>
      <w:r>
        <w:t>ervices (ODS)</w:t>
      </w:r>
      <w:r w:rsidRPr="00DD6487">
        <w:t xml:space="preserve"> </w:t>
      </w:r>
      <w:proofErr w:type="spellStart"/>
      <w:r w:rsidRPr="00DD6487">
        <w:t>Streetscene</w:t>
      </w:r>
      <w:proofErr w:type="spellEnd"/>
      <w:r w:rsidRPr="00DD6487">
        <w:t xml:space="preserve"> on behalf of Oxford City Council uses </w:t>
      </w:r>
      <w:r w:rsidR="005C1483">
        <w:t>G</w:t>
      </w:r>
      <w:r w:rsidRPr="00DD6487">
        <w:t xml:space="preserve">lyphosate (specifically Round Up) </w:t>
      </w:r>
      <w:r w:rsidR="005C1483">
        <w:t xml:space="preserve">- </w:t>
      </w:r>
      <w:r w:rsidR="005C1483" w:rsidRPr="0030288F">
        <w:rPr>
          <w:shd w:val="clear" w:color="auto" w:fill="FFFFFF"/>
        </w:rPr>
        <w:t>a non-selective, systematic herbicide that is the active substance in many generally available weed killers</w:t>
      </w:r>
      <w:r w:rsidR="005C1483">
        <w:rPr>
          <w:shd w:val="clear" w:color="auto" w:fill="FFFFFF"/>
        </w:rPr>
        <w:t xml:space="preserve"> - </w:t>
      </w:r>
      <w:r w:rsidRPr="00DD6487">
        <w:t>to control weeds on highways and streets</w:t>
      </w:r>
      <w:r>
        <w:t xml:space="preserve"> and other paved areas</w:t>
      </w:r>
      <w:r w:rsidRPr="00DD6487">
        <w:t xml:space="preserve"> across the city.</w:t>
      </w:r>
    </w:p>
    <w:p w14:paraId="2BE04885" w14:textId="3EB2D727" w:rsidR="00A50577" w:rsidRPr="00A50577" w:rsidRDefault="00A50577" w:rsidP="00653118">
      <w:pPr>
        <w:pStyle w:val="ListParagraph"/>
        <w:jc w:val="both"/>
        <w:rPr>
          <w:color w:val="000000" w:themeColor="text1"/>
        </w:rPr>
      </w:pPr>
      <w:r>
        <w:t xml:space="preserve">A UK ban on the chemical </w:t>
      </w:r>
      <w:r w:rsidR="3A90578F">
        <w:t>had been</w:t>
      </w:r>
      <w:r>
        <w:t xml:space="preserve"> set to come into effect on 15 December 2022, aligned with the decision from the European Commission. However, with the UK leaving the EU following Brexit, Britain now makes its own regulatory decisions.</w:t>
      </w:r>
      <w:r w:rsidRPr="707DE9A2">
        <w:rPr>
          <w:color w:val="000000" w:themeColor="text1"/>
        </w:rPr>
        <w:t xml:space="preserve"> </w:t>
      </w:r>
      <w:r w:rsidR="00653118" w:rsidRPr="707DE9A2">
        <w:rPr>
          <w:color w:val="000000" w:themeColor="text1"/>
        </w:rPr>
        <w:t>Glyphosate</w:t>
      </w:r>
      <w:r w:rsidR="001D346B" w:rsidRPr="707DE9A2">
        <w:rPr>
          <w:color w:val="000000" w:themeColor="text1"/>
        </w:rPr>
        <w:t xml:space="preserve"> </w:t>
      </w:r>
      <w:r>
        <w:t>remains approved for use in the UK</w:t>
      </w:r>
      <w:r w:rsidR="001D346B">
        <w:t>.</w:t>
      </w:r>
    </w:p>
    <w:p w14:paraId="2D646ACC" w14:textId="130AA4F6" w:rsidR="008A4F99" w:rsidRPr="008A4F99" w:rsidRDefault="0030288F" w:rsidP="00653118">
      <w:pPr>
        <w:pStyle w:val="ListParagraph"/>
        <w:jc w:val="both"/>
        <w:rPr>
          <w:color w:val="000000" w:themeColor="text1"/>
        </w:rPr>
      </w:pPr>
      <w:r>
        <w:t xml:space="preserve">Following a decision by some councils in England to end the use of </w:t>
      </w:r>
      <w:r w:rsidR="54B12C3A">
        <w:t xml:space="preserve">Glyphosate, in </w:t>
      </w:r>
      <w:r w:rsidR="008A4F99">
        <w:t xml:space="preserve">August 2023 a </w:t>
      </w:r>
      <w:r>
        <w:t>review</w:t>
      </w:r>
      <w:r w:rsidR="008A4F99">
        <w:t xml:space="preserve"> was undertaken by the ODS Parks and Opens Spaces team, setting out how Glyphosate is used in Oxford and looked in detail at the cost and effectiveness of alternative weed treatments being trialled in some other council areas across the UK. </w:t>
      </w:r>
    </w:p>
    <w:p w14:paraId="07ADC448" w14:textId="41EE0112" w:rsidR="00E44F7A" w:rsidRDefault="00E44F7A" w:rsidP="00653118">
      <w:pPr>
        <w:pStyle w:val="ListParagraph"/>
        <w:jc w:val="both"/>
      </w:pPr>
      <w:r>
        <w:t xml:space="preserve">The review found that significant care was taken in the way that Glyphosate is used by ODS in Oxford to minimise </w:t>
      </w:r>
      <w:r w:rsidR="5E5CE8C2">
        <w:t xml:space="preserve">any </w:t>
      </w:r>
      <w:r>
        <w:t xml:space="preserve">negative impacts on wider biodiversity. It also found that </w:t>
      </w:r>
      <w:proofErr w:type="gramStart"/>
      <w:r>
        <w:t>all of</w:t>
      </w:r>
      <w:proofErr w:type="gramEnd"/>
      <w:r>
        <w:t xml:space="preserve"> the alternative weed treatments had a higher cost to apply and none had demonstrated the level </w:t>
      </w:r>
      <w:r w:rsidR="003C0D1D">
        <w:t>of effectiveness of Glyphosate.</w:t>
      </w:r>
    </w:p>
    <w:p w14:paraId="60922BB7" w14:textId="464F963E" w:rsidR="00297311" w:rsidRDefault="00297311" w:rsidP="00653118">
      <w:pPr>
        <w:pStyle w:val="ListParagraph"/>
        <w:jc w:val="both"/>
      </w:pPr>
      <w:r>
        <w:t xml:space="preserve">In undertaking the research, it also emerged that </w:t>
      </w:r>
      <w:r w:rsidR="003C0D1D">
        <w:t>G</w:t>
      </w:r>
      <w:r>
        <w:t xml:space="preserve">lyphosate is not being used in a </w:t>
      </w:r>
      <w:r w:rsidR="29E69D88">
        <w:t xml:space="preserve">small </w:t>
      </w:r>
      <w:r>
        <w:t xml:space="preserve">number of locations around the city of Oxford following requests </w:t>
      </w:r>
      <w:r w:rsidR="66AD6EA9">
        <w:t xml:space="preserve">to ODS </w:t>
      </w:r>
      <w:r>
        <w:t>from some individual ward councillors and local resident groups. This somewhat arbitrary approach is not appropriate or justified</w:t>
      </w:r>
      <w:r w:rsidR="003C0D1D">
        <w:t>.</w:t>
      </w:r>
      <w:r>
        <w:t xml:space="preserve">  </w:t>
      </w:r>
    </w:p>
    <w:p w14:paraId="359C5310" w14:textId="1BDDB4DD" w:rsidR="00E44F7A" w:rsidRDefault="00E44F7A" w:rsidP="00653118">
      <w:pPr>
        <w:pStyle w:val="Heading1"/>
        <w:jc w:val="both"/>
      </w:pPr>
      <w:r>
        <w:t>Officer Recommendation</w:t>
      </w:r>
    </w:p>
    <w:p w14:paraId="6C069846" w14:textId="3184CB44" w:rsidR="00E44F7A" w:rsidRDefault="00E44F7A" w:rsidP="00653118">
      <w:pPr>
        <w:pStyle w:val="ListParagraph"/>
        <w:jc w:val="both"/>
      </w:pPr>
      <w:r>
        <w:t xml:space="preserve">To continue with the tightly controlled application </w:t>
      </w:r>
      <w:r w:rsidR="003C0D1D" w:rsidRPr="00DD6487">
        <w:rPr>
          <w:szCs w:val="22"/>
        </w:rPr>
        <w:t xml:space="preserve">use </w:t>
      </w:r>
      <w:r w:rsidR="003C0D1D">
        <w:rPr>
          <w:szCs w:val="22"/>
        </w:rPr>
        <w:t>G</w:t>
      </w:r>
      <w:r w:rsidR="003C0D1D" w:rsidRPr="00DD6487">
        <w:rPr>
          <w:szCs w:val="22"/>
        </w:rPr>
        <w:t>lyphosate for its current limited purposes</w:t>
      </w:r>
      <w:r w:rsidR="003C0D1D">
        <w:t xml:space="preserve"> </w:t>
      </w:r>
      <w:r>
        <w:t>to tackle weed penetration of paved surfaces and invasive species such as Japanese Knotweed, in line with current DEFRA and Environment Agency guidance</w:t>
      </w:r>
      <w:r w:rsidR="003C0D1D">
        <w:t>.</w:t>
      </w:r>
    </w:p>
    <w:p w14:paraId="113CC768" w14:textId="6DF4C942" w:rsidR="00E44F7A" w:rsidRDefault="00E44F7A" w:rsidP="00653118">
      <w:pPr>
        <w:pStyle w:val="ListParagraph"/>
        <w:jc w:val="both"/>
      </w:pPr>
      <w:r>
        <w:t xml:space="preserve">This position should be kept under periodic review </w:t>
      </w:r>
      <w:r w:rsidR="003C0D1D">
        <w:t>until such po</w:t>
      </w:r>
      <w:r w:rsidR="001D346B">
        <w:t>int Government changes its advic</w:t>
      </w:r>
      <w:r w:rsidR="003C0D1D">
        <w:t xml:space="preserve">e on use of this herbicide, or another viable, </w:t>
      </w:r>
      <w:proofErr w:type="gramStart"/>
      <w:r w:rsidR="29304FA1">
        <w:t>economic</w:t>
      </w:r>
      <w:proofErr w:type="gramEnd"/>
      <w:r w:rsidR="29304FA1">
        <w:t xml:space="preserve"> and</w:t>
      </w:r>
      <w:r w:rsidR="003C0D1D">
        <w:t xml:space="preserve"> effective treatment emerges.</w:t>
      </w:r>
    </w:p>
    <w:p w14:paraId="78242EA6" w14:textId="534A4090" w:rsidR="00297311" w:rsidRPr="00F050A1" w:rsidRDefault="00297311" w:rsidP="00653118">
      <w:pPr>
        <w:pStyle w:val="ListParagraph"/>
        <w:jc w:val="both"/>
      </w:pPr>
      <w:r>
        <w:t xml:space="preserve">Furthermore, officers also </w:t>
      </w:r>
      <w:r w:rsidR="003C0D1D">
        <w:t>recommend that the us</w:t>
      </w:r>
      <w:r w:rsidR="41775EEE">
        <w:t>ag</w:t>
      </w:r>
      <w:r w:rsidR="003C0D1D">
        <w:t>e of G</w:t>
      </w:r>
      <w:r>
        <w:t>lyphosate to manage weed intrusion in paved surfaces is delivered uniformly across the city.</w:t>
      </w:r>
    </w:p>
    <w:p w14:paraId="630E3441" w14:textId="77777777" w:rsidR="0040736F" w:rsidRPr="002B6836" w:rsidRDefault="002329CF" w:rsidP="00653118">
      <w:pPr>
        <w:pStyle w:val="Heading1"/>
        <w:jc w:val="both"/>
      </w:pPr>
      <w:r w:rsidRPr="002B6836">
        <w:t>Financial implications</w:t>
      </w:r>
    </w:p>
    <w:p w14:paraId="13BE0CB0" w14:textId="61199744" w:rsidR="00297311" w:rsidRDefault="00210CCA" w:rsidP="00653118">
      <w:pPr>
        <w:pStyle w:val="ListParagraph"/>
        <w:jc w:val="both"/>
      </w:pPr>
      <w:r>
        <w:t xml:space="preserve">Alternative weed treatments had a higher cost to </w:t>
      </w:r>
      <w:proofErr w:type="gramStart"/>
      <w:r>
        <w:t>apply</w:t>
      </w:r>
      <w:proofErr w:type="gramEnd"/>
      <w:r>
        <w:t xml:space="preserve"> and none had demonstrated the level of effectiveness of Glyphosate.</w:t>
      </w:r>
      <w:r w:rsidR="00297311">
        <w:t xml:space="preserve"> </w:t>
      </w:r>
    </w:p>
    <w:p w14:paraId="630E3442" w14:textId="13D50364" w:rsidR="00E87F7A" w:rsidRPr="001356F1" w:rsidRDefault="5F6EB6B8" w:rsidP="00653118">
      <w:pPr>
        <w:pStyle w:val="ListParagraph"/>
        <w:jc w:val="both"/>
      </w:pPr>
      <w:r>
        <w:t xml:space="preserve">There are no financial implications if the existing approach to managing weed intrusion is maintained. </w:t>
      </w:r>
      <w:r w:rsidR="00297311">
        <w:t>Adopting other approaches to Glyphosate would require a budget bid.</w:t>
      </w:r>
    </w:p>
    <w:p w14:paraId="630E3443" w14:textId="77777777" w:rsidR="0040736F" w:rsidRPr="001356F1" w:rsidRDefault="00DA614B" w:rsidP="00653118">
      <w:pPr>
        <w:pStyle w:val="Heading1"/>
        <w:jc w:val="both"/>
      </w:pPr>
      <w:r w:rsidRPr="001356F1">
        <w:t>Legal issues</w:t>
      </w:r>
    </w:p>
    <w:p w14:paraId="630E3444" w14:textId="62D9DDDD" w:rsidR="00E87F7A" w:rsidRPr="00A50577" w:rsidRDefault="229A5DA7" w:rsidP="00653118">
      <w:pPr>
        <w:pStyle w:val="ListParagraph"/>
        <w:jc w:val="both"/>
        <w:rPr>
          <w:color w:val="000000" w:themeColor="text1"/>
        </w:rPr>
      </w:pPr>
      <w:r w:rsidRPr="00DD6487">
        <w:t xml:space="preserve">There are not legal issues. </w:t>
      </w:r>
      <w:r w:rsidR="00A50577" w:rsidRPr="00DD6487">
        <w:t xml:space="preserve">Glyphosate </w:t>
      </w:r>
      <w:r w:rsidR="00A50577" w:rsidRPr="0030288F">
        <w:rPr>
          <w:shd w:val="clear" w:color="auto" w:fill="FFFFFF"/>
        </w:rPr>
        <w:t xml:space="preserve">– a non-selective, systematic herbicide that </w:t>
      </w:r>
      <w:r w:rsidR="00A50577">
        <w:t xml:space="preserve">remains </w:t>
      </w:r>
      <w:r w:rsidR="00A50577" w:rsidRPr="00DD6487">
        <w:t xml:space="preserve">approved for use in </w:t>
      </w:r>
      <w:r w:rsidR="00A50577">
        <w:t xml:space="preserve">the UK. </w:t>
      </w:r>
    </w:p>
    <w:p w14:paraId="0F4A21E4" w14:textId="77777777" w:rsidR="00342AFD" w:rsidRDefault="00342AFD">
      <w:pPr>
        <w:spacing w:after="0"/>
        <w:rPr>
          <w:b/>
        </w:rPr>
      </w:pPr>
      <w:r>
        <w:br w:type="page"/>
      </w:r>
    </w:p>
    <w:p w14:paraId="630E3445" w14:textId="49C46B03" w:rsidR="002329CF" w:rsidRPr="001356F1" w:rsidRDefault="002329CF" w:rsidP="00653118">
      <w:pPr>
        <w:pStyle w:val="Heading1"/>
        <w:jc w:val="both"/>
      </w:pPr>
      <w:r w:rsidRPr="001356F1">
        <w:lastRenderedPageBreak/>
        <w:t>Level of risk</w:t>
      </w:r>
    </w:p>
    <w:p w14:paraId="0FCD655A" w14:textId="4CBDAE5F" w:rsidR="00210CCA" w:rsidRDefault="00210CCA" w:rsidP="00653118">
      <w:pPr>
        <w:pStyle w:val="bParagraphtext"/>
        <w:jc w:val="both"/>
      </w:pPr>
      <w:r>
        <w:t>There is no change in the level of risk from this report.</w:t>
      </w:r>
    </w:p>
    <w:p w14:paraId="5C0867C3" w14:textId="7515251B" w:rsidR="00297311" w:rsidRPr="00DD6487" w:rsidRDefault="00297311" w:rsidP="00653118">
      <w:pPr>
        <w:pStyle w:val="ListParagraph"/>
        <w:jc w:val="both"/>
      </w:pPr>
      <w:r>
        <w:t xml:space="preserve">The continued careful management and targeted application of </w:t>
      </w:r>
      <w:r w:rsidR="001D346B">
        <w:t>G</w:t>
      </w:r>
      <w:r>
        <w:t xml:space="preserve">lyphosate by ODS staff is not thought to create a significant risk to biodiversity or human health. </w:t>
      </w:r>
    </w:p>
    <w:p w14:paraId="630E344A" w14:textId="1FF51A1A" w:rsidR="00FB3B71" w:rsidRPr="005C1483" w:rsidRDefault="00950824" w:rsidP="00653118">
      <w:pPr>
        <w:pStyle w:val="bParagraphtext"/>
        <w:numPr>
          <w:ilvl w:val="0"/>
          <w:numId w:val="0"/>
        </w:numPr>
        <w:jc w:val="both"/>
      </w:pPr>
      <w:r>
        <w:rPr>
          <w:b/>
        </w:rPr>
        <w:t xml:space="preserve">Carbon and Environmental </w:t>
      </w:r>
      <w:r w:rsidRPr="005C1483">
        <w:rPr>
          <w:b/>
        </w:rPr>
        <w:t>Considerations</w:t>
      </w:r>
      <w:r w:rsidR="00FB3B71" w:rsidRPr="005C1483">
        <w:rPr>
          <w:b/>
        </w:rPr>
        <w:t xml:space="preserve"> </w:t>
      </w:r>
    </w:p>
    <w:p w14:paraId="4444D0E3" w14:textId="473D712C" w:rsidR="00297311" w:rsidRDefault="00210CCA" w:rsidP="00653118">
      <w:pPr>
        <w:pStyle w:val="ListParagraph"/>
        <w:jc w:val="both"/>
      </w:pPr>
      <w:r>
        <w:t>Glyphosate is applied topically directly onto individual weeds rather than generally sprayed.  It is not applied during windy conditions – due to the risk the chemical could impact other plants.</w:t>
      </w:r>
    </w:p>
    <w:p w14:paraId="49B43CB0" w14:textId="77777777" w:rsidR="00653118" w:rsidRDefault="00210CCA" w:rsidP="00653118">
      <w:pPr>
        <w:pStyle w:val="ListParagraph"/>
        <w:jc w:val="both"/>
      </w:pPr>
      <w:r>
        <w:t>ODS staff using the chemical are trained in it</w:t>
      </w:r>
      <w:r w:rsidR="00653118">
        <w:t>s use and wear appropriate PPE.</w:t>
      </w:r>
    </w:p>
    <w:p w14:paraId="1A4BB317" w14:textId="2288F6CB" w:rsidR="00210CCA" w:rsidRDefault="00210CCA" w:rsidP="00653118">
      <w:pPr>
        <w:pStyle w:val="ListParagraph"/>
        <w:jc w:val="both"/>
      </w:pPr>
      <w:r>
        <w:t xml:space="preserve">Glyphosate hasn’t been used around trees, grass verges and in the city’s parks and open spaces for the past decade. </w:t>
      </w:r>
    </w:p>
    <w:p w14:paraId="24EFBFC4" w14:textId="5530C887" w:rsidR="00135D70" w:rsidRPr="00135D70" w:rsidRDefault="00135D70" w:rsidP="00653118">
      <w:pPr>
        <w:pStyle w:val="ListParagraph"/>
        <w:jc w:val="both"/>
        <w:rPr>
          <w:sz w:val="28"/>
        </w:rPr>
      </w:pPr>
      <w:r w:rsidRPr="00135D70">
        <w:rPr>
          <w:rFonts w:cs="Arial"/>
          <w:color w:val="242424"/>
          <w:szCs w:val="22"/>
          <w:shd w:val="clear" w:color="auto" w:fill="FFFFFF"/>
        </w:rPr>
        <w:t xml:space="preserve">There are a variety of studies indicating the use of glyphosate can impair navigation and learning by honeybees, </w:t>
      </w:r>
      <w:proofErr w:type="gramStart"/>
      <w:r w:rsidRPr="00135D70">
        <w:rPr>
          <w:rFonts w:cs="Arial"/>
          <w:color w:val="242424"/>
          <w:szCs w:val="22"/>
          <w:shd w:val="clear" w:color="auto" w:fill="FFFFFF"/>
        </w:rPr>
        <w:t>and also</w:t>
      </w:r>
      <w:proofErr w:type="gramEnd"/>
      <w:r w:rsidRPr="00135D70">
        <w:rPr>
          <w:rFonts w:cs="Arial"/>
          <w:color w:val="242424"/>
          <w:szCs w:val="22"/>
          <w:shd w:val="clear" w:color="auto" w:fill="FFFFFF"/>
        </w:rPr>
        <w:t xml:space="preserve"> alter their gut bacteria, as well as impairing collective thermoregulation in bumblebees.</w:t>
      </w:r>
    </w:p>
    <w:p w14:paraId="173EEF4E" w14:textId="436E4396" w:rsidR="00210CCA" w:rsidRPr="005C1483" w:rsidRDefault="005C1483" w:rsidP="00653118">
      <w:pPr>
        <w:pStyle w:val="ListParagraph"/>
        <w:jc w:val="both"/>
      </w:pPr>
      <w:r>
        <w:t>The use of acetic acid created new risks to the insect population and to humans</w:t>
      </w:r>
      <w:r w:rsidR="00210CCA">
        <w:t>.</w:t>
      </w:r>
    </w:p>
    <w:p w14:paraId="630E3450" w14:textId="1BE46B29"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630E3453"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630E3451"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30E3452" w14:textId="654DA8E5" w:rsidR="00E87F7A" w:rsidRPr="001356F1" w:rsidRDefault="00A50577" w:rsidP="00A50577">
            <w:r>
              <w:t xml:space="preserve">Mish </w:t>
            </w:r>
            <w:proofErr w:type="spellStart"/>
            <w:r>
              <w:t>Tullar</w:t>
            </w:r>
            <w:proofErr w:type="spellEnd"/>
          </w:p>
        </w:tc>
      </w:tr>
      <w:tr w:rsidR="00DF093E" w:rsidRPr="001356F1" w14:paraId="630E3456"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630E3454"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630E3455" w14:textId="617C7541" w:rsidR="00E87F7A" w:rsidRPr="001356F1" w:rsidRDefault="00A50577" w:rsidP="00A46E98">
            <w:r>
              <w:t>Head of Corporate Strategy</w:t>
            </w:r>
          </w:p>
        </w:tc>
      </w:tr>
      <w:tr w:rsidR="00DF093E" w:rsidRPr="001356F1" w14:paraId="630E3459" w14:textId="77777777" w:rsidTr="00A46E98">
        <w:trPr>
          <w:cantSplit/>
          <w:trHeight w:val="396"/>
        </w:trPr>
        <w:tc>
          <w:tcPr>
            <w:tcW w:w="3969" w:type="dxa"/>
            <w:tcBorders>
              <w:top w:val="nil"/>
              <w:left w:val="single" w:sz="8" w:space="0" w:color="000000"/>
              <w:bottom w:val="nil"/>
              <w:right w:val="nil"/>
            </w:tcBorders>
            <w:shd w:val="clear" w:color="auto" w:fill="auto"/>
          </w:tcPr>
          <w:p w14:paraId="630E3457"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630E3458" w14:textId="543E71CA" w:rsidR="00E87F7A" w:rsidRPr="001356F1" w:rsidRDefault="00A50577" w:rsidP="00A46E98">
            <w:r>
              <w:t>Corporate Strategy</w:t>
            </w:r>
          </w:p>
        </w:tc>
      </w:tr>
      <w:tr w:rsidR="00DF093E" w:rsidRPr="001356F1" w14:paraId="630E345C" w14:textId="77777777" w:rsidTr="00A46E98">
        <w:trPr>
          <w:cantSplit/>
          <w:trHeight w:val="396"/>
        </w:trPr>
        <w:tc>
          <w:tcPr>
            <w:tcW w:w="3969" w:type="dxa"/>
            <w:tcBorders>
              <w:top w:val="nil"/>
              <w:left w:val="single" w:sz="8" w:space="0" w:color="000000"/>
              <w:bottom w:val="nil"/>
              <w:right w:val="nil"/>
            </w:tcBorders>
            <w:shd w:val="clear" w:color="auto" w:fill="auto"/>
          </w:tcPr>
          <w:p w14:paraId="630E345A"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630E345B" w14:textId="66332768" w:rsidR="00E87F7A" w:rsidRPr="001356F1" w:rsidRDefault="00C40A3F" w:rsidP="00A46E98">
            <w:r>
              <w:t>07483 010 499</w:t>
            </w:r>
          </w:p>
        </w:tc>
      </w:tr>
      <w:tr w:rsidR="005570B5" w:rsidRPr="001356F1" w14:paraId="630E345F"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630E345D"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630E345E" w14:textId="24A4ED5F" w:rsidR="00C40A3F" w:rsidRPr="001356F1" w:rsidRDefault="00A50577" w:rsidP="00C40A3F">
            <w:pPr>
              <w:rPr>
                <w:rStyle w:val="Hyperlink"/>
                <w:color w:val="000000"/>
              </w:rPr>
            </w:pPr>
            <w:r>
              <w:rPr>
                <w:rStyle w:val="Hyperlink"/>
                <w:color w:val="000000"/>
              </w:rPr>
              <w:t>mtullar@oxford.gov.uk</w:t>
            </w:r>
          </w:p>
        </w:tc>
      </w:tr>
    </w:tbl>
    <w:p w14:paraId="630E3460" w14:textId="77777777" w:rsidR="00433B96" w:rsidRPr="001356F1" w:rsidRDefault="00433B96" w:rsidP="004A6D2F"/>
    <w:tbl>
      <w:tblPr>
        <w:tblW w:w="0" w:type="auto"/>
        <w:tblInd w:w="108" w:type="dxa"/>
        <w:tblBorders>
          <w:top w:val="single" w:sz="8" w:space="0" w:color="auto"/>
          <w:left w:val="single" w:sz="8" w:space="0" w:color="auto"/>
          <w:bottom w:val="single" w:sz="8" w:space="0" w:color="000000"/>
          <w:right w:val="single" w:sz="8" w:space="0" w:color="auto"/>
        </w:tblBorders>
        <w:tblLook w:val="04A0" w:firstRow="1" w:lastRow="0" w:firstColumn="1" w:lastColumn="0" w:noHBand="0" w:noVBand="1"/>
      </w:tblPr>
      <w:tblGrid>
        <w:gridCol w:w="8931"/>
      </w:tblGrid>
      <w:tr w:rsidR="00DF093E" w:rsidRPr="001356F1" w14:paraId="630E3462" w14:textId="77777777" w:rsidTr="00A50577">
        <w:tc>
          <w:tcPr>
            <w:tcW w:w="8931" w:type="dxa"/>
            <w:shd w:val="clear" w:color="auto" w:fill="auto"/>
          </w:tcPr>
          <w:p w14:paraId="630E3461" w14:textId="77777777" w:rsidR="0093067A" w:rsidRPr="001356F1" w:rsidRDefault="00182B81" w:rsidP="00F41AC1">
            <w:r w:rsidRPr="00A50577">
              <w:rPr>
                <w:rStyle w:val="Firstpagetablebold"/>
                <w:color w:val="auto"/>
              </w:rPr>
              <w:t xml:space="preserve">Background Papers: </w:t>
            </w:r>
            <w:r w:rsidRPr="00A50577">
              <w:rPr>
                <w:rStyle w:val="Firstpagetablebold"/>
                <w:b w:val="0"/>
                <w:color w:val="auto"/>
              </w:rPr>
              <w:t>None</w:t>
            </w:r>
          </w:p>
        </w:tc>
      </w:tr>
    </w:tbl>
    <w:p w14:paraId="630E346F" w14:textId="77777777" w:rsidR="00CE4C87" w:rsidRDefault="00CE4C87" w:rsidP="0093067A"/>
    <w:sectPr w:rsidR="00CE4C87" w:rsidSect="002B6836">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A86D7" w14:textId="77777777" w:rsidR="003D439B" w:rsidRDefault="003D439B" w:rsidP="004A6D2F">
      <w:r>
        <w:separator/>
      </w:r>
    </w:p>
  </w:endnote>
  <w:endnote w:type="continuationSeparator" w:id="0">
    <w:p w14:paraId="65615D92" w14:textId="77777777" w:rsidR="003D439B" w:rsidRDefault="003D439B"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348E" w14:textId="77777777" w:rsidR="00364FAD" w:rsidRDefault="00364FAD" w:rsidP="004A6D2F">
    <w:pPr>
      <w:pStyle w:val="Footer"/>
    </w:pPr>
    <w:r>
      <w:t>Do not use a footer or page numbers.</w:t>
    </w:r>
  </w:p>
  <w:p w14:paraId="630E348F" w14:textId="77777777" w:rsidR="00364FAD" w:rsidRDefault="00364FAD" w:rsidP="004A6D2F">
    <w:pPr>
      <w:pStyle w:val="Footer"/>
    </w:pPr>
  </w:p>
  <w:p w14:paraId="630E3490" w14:textId="77777777" w:rsidR="00364FAD" w:rsidRDefault="00364FA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3493" w14:textId="776A72D6" w:rsidR="00A701B5" w:rsidRDefault="00A701B5" w:rsidP="004A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F7D9C" w14:textId="77777777" w:rsidR="003D439B" w:rsidRDefault="003D439B" w:rsidP="004A6D2F">
      <w:r>
        <w:separator/>
      </w:r>
    </w:p>
  </w:footnote>
  <w:footnote w:type="continuationSeparator" w:id="0">
    <w:p w14:paraId="00E7EA95" w14:textId="77777777" w:rsidR="003D439B" w:rsidRDefault="003D439B"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3491" w14:textId="77777777" w:rsidR="00D5547E" w:rsidRDefault="00C05260" w:rsidP="00D5547E">
    <w:pPr>
      <w:pStyle w:val="Header"/>
      <w:jc w:val="right"/>
    </w:pPr>
    <w:r>
      <w:rPr>
        <w:noProof/>
      </w:rPr>
      <w:drawing>
        <wp:inline distT="0" distB="0" distL="0" distR="0" wp14:anchorId="630E3494" wp14:editId="630E3495">
          <wp:extent cx="838200" cy="1119505"/>
          <wp:effectExtent l="0" t="0" r="0" b="4445"/>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95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44D7E84"/>
    <w:multiLevelType w:val="hybridMultilevel"/>
    <w:tmpl w:val="E548A43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2263A6A"/>
    <w:multiLevelType w:val="multilevel"/>
    <w:tmpl w:val="43D6D2FA"/>
    <w:numStyleLink w:val="StyleBulletedSymbolsymbolLeft063cmHanging063cm"/>
  </w:abstractNum>
  <w:abstractNum w:abstractNumId="19" w15:restartNumberingAfterBreak="0">
    <w:nsid w:val="22401C2F"/>
    <w:multiLevelType w:val="hybridMultilevel"/>
    <w:tmpl w:val="E26AA14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BA5FD8"/>
    <w:multiLevelType w:val="multilevel"/>
    <w:tmpl w:val="43D6D2FA"/>
    <w:numStyleLink w:val="StyleBulletedSymbolsymbolLeft063cmHanging063cm"/>
  </w:abstractNum>
  <w:abstractNum w:abstractNumId="29"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A22831"/>
    <w:multiLevelType w:val="multilevel"/>
    <w:tmpl w:val="43D6D2FA"/>
    <w:numStyleLink w:val="StyleBulletedSymbolsymbolLeft063cmHanging063cm"/>
  </w:abstractNum>
  <w:abstractNum w:abstractNumId="31"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98365C6"/>
    <w:multiLevelType w:val="multilevel"/>
    <w:tmpl w:val="E67CE66C"/>
    <w:numStyleLink w:val="StyleNumberedLeft0cmHanging075cm"/>
  </w:abstractNum>
  <w:num w:numId="1" w16cid:durableId="1409226632">
    <w:abstractNumId w:val="27"/>
  </w:num>
  <w:num w:numId="2" w16cid:durableId="1857187762">
    <w:abstractNumId w:val="32"/>
  </w:num>
  <w:num w:numId="3" w16cid:durableId="1579825185">
    <w:abstractNumId w:val="24"/>
  </w:num>
  <w:num w:numId="4" w16cid:durableId="1394038879">
    <w:abstractNumId w:val="20"/>
  </w:num>
  <w:num w:numId="5" w16cid:durableId="138771570">
    <w:abstractNumId w:val="29"/>
  </w:num>
  <w:num w:numId="6" w16cid:durableId="337465451">
    <w:abstractNumId w:val="33"/>
  </w:num>
  <w:num w:numId="7" w16cid:durableId="1636137969">
    <w:abstractNumId w:val="23"/>
  </w:num>
  <w:num w:numId="8" w16cid:durableId="487285688">
    <w:abstractNumId w:val="21"/>
  </w:num>
  <w:num w:numId="9" w16cid:durableId="1378123237">
    <w:abstractNumId w:val="13"/>
  </w:num>
  <w:num w:numId="10" w16cid:durableId="1191719764">
    <w:abstractNumId w:val="16"/>
  </w:num>
  <w:num w:numId="11" w16cid:durableId="1798185387">
    <w:abstractNumId w:val="26"/>
  </w:num>
  <w:num w:numId="12" w16cid:durableId="1091659215">
    <w:abstractNumId w:val="25"/>
  </w:num>
  <w:num w:numId="13" w16cid:durableId="523640900">
    <w:abstractNumId w:val="10"/>
  </w:num>
  <w:num w:numId="14" w16cid:durableId="1711032760">
    <w:abstractNumId w:val="34"/>
  </w:num>
  <w:num w:numId="15" w16cid:durableId="799687717">
    <w:abstractNumId w:val="17"/>
  </w:num>
  <w:num w:numId="16" w16cid:durableId="925311782">
    <w:abstractNumId w:val="11"/>
  </w:num>
  <w:num w:numId="17" w16cid:durableId="17780602">
    <w:abstractNumId w:val="28"/>
  </w:num>
  <w:num w:numId="18" w16cid:durableId="968977496">
    <w:abstractNumId w:val="12"/>
  </w:num>
  <w:num w:numId="19" w16cid:durableId="570116353">
    <w:abstractNumId w:val="30"/>
  </w:num>
  <w:num w:numId="20" w16cid:durableId="675421725">
    <w:abstractNumId w:val="18"/>
  </w:num>
  <w:num w:numId="21" w16cid:durableId="1053390045">
    <w:abstractNumId w:val="22"/>
  </w:num>
  <w:num w:numId="22" w16cid:durableId="1027410249">
    <w:abstractNumId w:val="14"/>
  </w:num>
  <w:num w:numId="23" w16cid:durableId="427191670">
    <w:abstractNumId w:val="31"/>
  </w:num>
  <w:num w:numId="24" w16cid:durableId="1593470045">
    <w:abstractNumId w:val="9"/>
  </w:num>
  <w:num w:numId="25" w16cid:durableId="968822940">
    <w:abstractNumId w:val="8"/>
  </w:num>
  <w:num w:numId="26" w16cid:durableId="169567951">
    <w:abstractNumId w:val="7"/>
  </w:num>
  <w:num w:numId="27" w16cid:durableId="1370954171">
    <w:abstractNumId w:val="6"/>
  </w:num>
  <w:num w:numId="28" w16cid:durableId="143393708">
    <w:abstractNumId w:val="5"/>
  </w:num>
  <w:num w:numId="29" w16cid:durableId="2082288502">
    <w:abstractNumId w:val="4"/>
  </w:num>
  <w:num w:numId="30" w16cid:durableId="1198666033">
    <w:abstractNumId w:val="3"/>
  </w:num>
  <w:num w:numId="31" w16cid:durableId="936987768">
    <w:abstractNumId w:val="2"/>
  </w:num>
  <w:num w:numId="32" w16cid:durableId="815537069">
    <w:abstractNumId w:val="1"/>
  </w:num>
  <w:num w:numId="33" w16cid:durableId="1463305911">
    <w:abstractNumId w:val="0"/>
  </w:num>
  <w:num w:numId="34" w16cid:durableId="667365158">
    <w:abstractNumId w:val="15"/>
  </w:num>
  <w:num w:numId="35" w16cid:durableId="195933175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B71"/>
    <w:rsid w:val="0000F862"/>
    <w:rsid w:val="000117D4"/>
    <w:rsid w:val="000314D7"/>
    <w:rsid w:val="00034054"/>
    <w:rsid w:val="00045F8B"/>
    <w:rsid w:val="00046D2B"/>
    <w:rsid w:val="00056263"/>
    <w:rsid w:val="00064D8A"/>
    <w:rsid w:val="00064F82"/>
    <w:rsid w:val="00066510"/>
    <w:rsid w:val="00077523"/>
    <w:rsid w:val="000B1DFC"/>
    <w:rsid w:val="000C089F"/>
    <w:rsid w:val="000C3928"/>
    <w:rsid w:val="000C5E8E"/>
    <w:rsid w:val="000D0A34"/>
    <w:rsid w:val="000F4751"/>
    <w:rsid w:val="0010524C"/>
    <w:rsid w:val="00111FB1"/>
    <w:rsid w:val="00113418"/>
    <w:rsid w:val="001356F1"/>
    <w:rsid w:val="00135D70"/>
    <w:rsid w:val="00136994"/>
    <w:rsid w:val="0014128E"/>
    <w:rsid w:val="00151888"/>
    <w:rsid w:val="00170A2D"/>
    <w:rsid w:val="001808BC"/>
    <w:rsid w:val="00182B81"/>
    <w:rsid w:val="0018619D"/>
    <w:rsid w:val="001A011E"/>
    <w:rsid w:val="001A066A"/>
    <w:rsid w:val="001A13E6"/>
    <w:rsid w:val="001A5731"/>
    <w:rsid w:val="001B42C3"/>
    <w:rsid w:val="001C5D5E"/>
    <w:rsid w:val="001D346B"/>
    <w:rsid w:val="001D678D"/>
    <w:rsid w:val="001E03F8"/>
    <w:rsid w:val="001E1678"/>
    <w:rsid w:val="001E3376"/>
    <w:rsid w:val="002069B3"/>
    <w:rsid w:val="00210CCA"/>
    <w:rsid w:val="002329CF"/>
    <w:rsid w:val="00232F5B"/>
    <w:rsid w:val="00247C29"/>
    <w:rsid w:val="00260467"/>
    <w:rsid w:val="00263EA3"/>
    <w:rsid w:val="00274F00"/>
    <w:rsid w:val="00284F85"/>
    <w:rsid w:val="002870C3"/>
    <w:rsid w:val="00290915"/>
    <w:rsid w:val="00297311"/>
    <w:rsid w:val="002A22E2"/>
    <w:rsid w:val="002B6836"/>
    <w:rsid w:val="002C64F7"/>
    <w:rsid w:val="002F41F2"/>
    <w:rsid w:val="00301BF3"/>
    <w:rsid w:val="0030208D"/>
    <w:rsid w:val="0030288F"/>
    <w:rsid w:val="00323418"/>
    <w:rsid w:val="003357BF"/>
    <w:rsid w:val="00342AFD"/>
    <w:rsid w:val="00364FAD"/>
    <w:rsid w:val="0036738F"/>
    <w:rsid w:val="0036759C"/>
    <w:rsid w:val="00367AE5"/>
    <w:rsid w:val="00367D71"/>
    <w:rsid w:val="0038150A"/>
    <w:rsid w:val="003B6E75"/>
    <w:rsid w:val="003B7DA1"/>
    <w:rsid w:val="003C0D1D"/>
    <w:rsid w:val="003D0379"/>
    <w:rsid w:val="003D2574"/>
    <w:rsid w:val="003D439B"/>
    <w:rsid w:val="003D4C59"/>
    <w:rsid w:val="003F4267"/>
    <w:rsid w:val="00404032"/>
    <w:rsid w:val="0040736F"/>
    <w:rsid w:val="00412C1F"/>
    <w:rsid w:val="00421CB2"/>
    <w:rsid w:val="004268B9"/>
    <w:rsid w:val="00433B96"/>
    <w:rsid w:val="004440F1"/>
    <w:rsid w:val="004456DD"/>
    <w:rsid w:val="00446CDF"/>
    <w:rsid w:val="004521B7"/>
    <w:rsid w:val="004548E0"/>
    <w:rsid w:val="00462AB5"/>
    <w:rsid w:val="00465EAF"/>
    <w:rsid w:val="004738C5"/>
    <w:rsid w:val="00473E9B"/>
    <w:rsid w:val="0047737B"/>
    <w:rsid w:val="00491046"/>
    <w:rsid w:val="00496078"/>
    <w:rsid w:val="004A2AC7"/>
    <w:rsid w:val="004A6D2F"/>
    <w:rsid w:val="004B11AE"/>
    <w:rsid w:val="004C2887"/>
    <w:rsid w:val="004D2626"/>
    <w:rsid w:val="004D6E26"/>
    <w:rsid w:val="004D77D3"/>
    <w:rsid w:val="004E2959"/>
    <w:rsid w:val="004F20EF"/>
    <w:rsid w:val="0050321C"/>
    <w:rsid w:val="00507ECC"/>
    <w:rsid w:val="005305D6"/>
    <w:rsid w:val="0054712D"/>
    <w:rsid w:val="00547EF6"/>
    <w:rsid w:val="0055257B"/>
    <w:rsid w:val="005570B5"/>
    <w:rsid w:val="00567E18"/>
    <w:rsid w:val="00575F5F"/>
    <w:rsid w:val="00581805"/>
    <w:rsid w:val="00585F76"/>
    <w:rsid w:val="005A34E4"/>
    <w:rsid w:val="005A6610"/>
    <w:rsid w:val="005B17F2"/>
    <w:rsid w:val="005B62CB"/>
    <w:rsid w:val="005B7FB0"/>
    <w:rsid w:val="005C1483"/>
    <w:rsid w:val="005C35A5"/>
    <w:rsid w:val="005C577C"/>
    <w:rsid w:val="005D0621"/>
    <w:rsid w:val="005D1E27"/>
    <w:rsid w:val="005D2A3E"/>
    <w:rsid w:val="005E022E"/>
    <w:rsid w:val="005E5215"/>
    <w:rsid w:val="005F7F7E"/>
    <w:rsid w:val="00601B26"/>
    <w:rsid w:val="00614693"/>
    <w:rsid w:val="00623C2F"/>
    <w:rsid w:val="00633578"/>
    <w:rsid w:val="00637068"/>
    <w:rsid w:val="00650811"/>
    <w:rsid w:val="00653118"/>
    <w:rsid w:val="00661D3E"/>
    <w:rsid w:val="00692627"/>
    <w:rsid w:val="006969E7"/>
    <w:rsid w:val="006A3643"/>
    <w:rsid w:val="006B10C2"/>
    <w:rsid w:val="006C2A29"/>
    <w:rsid w:val="006C64CF"/>
    <w:rsid w:val="006D17B1"/>
    <w:rsid w:val="006D4752"/>
    <w:rsid w:val="006D708A"/>
    <w:rsid w:val="006E14C1"/>
    <w:rsid w:val="006F0292"/>
    <w:rsid w:val="006F27FA"/>
    <w:rsid w:val="006F416B"/>
    <w:rsid w:val="006F519B"/>
    <w:rsid w:val="00713675"/>
    <w:rsid w:val="00715823"/>
    <w:rsid w:val="007253EF"/>
    <w:rsid w:val="00737B93"/>
    <w:rsid w:val="00745BF0"/>
    <w:rsid w:val="00751EA3"/>
    <w:rsid w:val="007615FE"/>
    <w:rsid w:val="0076655C"/>
    <w:rsid w:val="007742DC"/>
    <w:rsid w:val="00791437"/>
    <w:rsid w:val="007B0C2C"/>
    <w:rsid w:val="007B278E"/>
    <w:rsid w:val="007B5CA2"/>
    <w:rsid w:val="007C5C23"/>
    <w:rsid w:val="007E2A26"/>
    <w:rsid w:val="007F2348"/>
    <w:rsid w:val="007F4757"/>
    <w:rsid w:val="00803F07"/>
    <w:rsid w:val="0080749A"/>
    <w:rsid w:val="00821FB8"/>
    <w:rsid w:val="00822ACD"/>
    <w:rsid w:val="00855C66"/>
    <w:rsid w:val="00871EE4"/>
    <w:rsid w:val="008954DF"/>
    <w:rsid w:val="008A4F99"/>
    <w:rsid w:val="008B293F"/>
    <w:rsid w:val="008B7371"/>
    <w:rsid w:val="008D3DDB"/>
    <w:rsid w:val="008F3B04"/>
    <w:rsid w:val="008F573F"/>
    <w:rsid w:val="009034EC"/>
    <w:rsid w:val="0093067A"/>
    <w:rsid w:val="00941C60"/>
    <w:rsid w:val="00941FD1"/>
    <w:rsid w:val="00950824"/>
    <w:rsid w:val="00950A7D"/>
    <w:rsid w:val="00966D42"/>
    <w:rsid w:val="00971689"/>
    <w:rsid w:val="0097170F"/>
    <w:rsid w:val="00973E90"/>
    <w:rsid w:val="00975B07"/>
    <w:rsid w:val="00980B4A"/>
    <w:rsid w:val="009B3E8A"/>
    <w:rsid w:val="009E3D0A"/>
    <w:rsid w:val="009E51FC"/>
    <w:rsid w:val="009F1D28"/>
    <w:rsid w:val="009F7618"/>
    <w:rsid w:val="009F7FD1"/>
    <w:rsid w:val="00A04D23"/>
    <w:rsid w:val="00A06766"/>
    <w:rsid w:val="00A13765"/>
    <w:rsid w:val="00A21B12"/>
    <w:rsid w:val="00A23F80"/>
    <w:rsid w:val="00A46E98"/>
    <w:rsid w:val="00A50577"/>
    <w:rsid w:val="00A6352B"/>
    <w:rsid w:val="00A701B5"/>
    <w:rsid w:val="00A714BB"/>
    <w:rsid w:val="00A77147"/>
    <w:rsid w:val="00A92D8F"/>
    <w:rsid w:val="00AB2988"/>
    <w:rsid w:val="00AB7999"/>
    <w:rsid w:val="00AD3292"/>
    <w:rsid w:val="00AE1684"/>
    <w:rsid w:val="00AE7AF0"/>
    <w:rsid w:val="00B500CA"/>
    <w:rsid w:val="00B6362F"/>
    <w:rsid w:val="00B86314"/>
    <w:rsid w:val="00BA1C2E"/>
    <w:rsid w:val="00BC200B"/>
    <w:rsid w:val="00BC4756"/>
    <w:rsid w:val="00BC69A4"/>
    <w:rsid w:val="00BE0680"/>
    <w:rsid w:val="00BE305F"/>
    <w:rsid w:val="00BE7BA3"/>
    <w:rsid w:val="00BF5682"/>
    <w:rsid w:val="00BF7B09"/>
    <w:rsid w:val="00C05260"/>
    <w:rsid w:val="00C076B9"/>
    <w:rsid w:val="00C20A95"/>
    <w:rsid w:val="00C2692F"/>
    <w:rsid w:val="00C3207C"/>
    <w:rsid w:val="00C400E1"/>
    <w:rsid w:val="00C40A3F"/>
    <w:rsid w:val="00C41187"/>
    <w:rsid w:val="00C63C31"/>
    <w:rsid w:val="00C757A0"/>
    <w:rsid w:val="00C760DE"/>
    <w:rsid w:val="00C82630"/>
    <w:rsid w:val="00C85B4E"/>
    <w:rsid w:val="00C907F7"/>
    <w:rsid w:val="00CA2103"/>
    <w:rsid w:val="00CB21E8"/>
    <w:rsid w:val="00CB6B99"/>
    <w:rsid w:val="00CC1219"/>
    <w:rsid w:val="00CE4C87"/>
    <w:rsid w:val="00CE544A"/>
    <w:rsid w:val="00D11E1C"/>
    <w:rsid w:val="00D160B0"/>
    <w:rsid w:val="00D17F94"/>
    <w:rsid w:val="00D223FC"/>
    <w:rsid w:val="00D26D1E"/>
    <w:rsid w:val="00D474CF"/>
    <w:rsid w:val="00D5547E"/>
    <w:rsid w:val="00D860E2"/>
    <w:rsid w:val="00D869A1"/>
    <w:rsid w:val="00DA413F"/>
    <w:rsid w:val="00DA4584"/>
    <w:rsid w:val="00DA614B"/>
    <w:rsid w:val="00DB7AD7"/>
    <w:rsid w:val="00DC3060"/>
    <w:rsid w:val="00DE0FB2"/>
    <w:rsid w:val="00DF093E"/>
    <w:rsid w:val="00E01F42"/>
    <w:rsid w:val="00E206D6"/>
    <w:rsid w:val="00E3366E"/>
    <w:rsid w:val="00E44F7A"/>
    <w:rsid w:val="00E52086"/>
    <w:rsid w:val="00E543A6"/>
    <w:rsid w:val="00E60479"/>
    <w:rsid w:val="00E61D73"/>
    <w:rsid w:val="00E73684"/>
    <w:rsid w:val="00E74080"/>
    <w:rsid w:val="00E818D6"/>
    <w:rsid w:val="00E83265"/>
    <w:rsid w:val="00E87F7A"/>
    <w:rsid w:val="00E94B3E"/>
    <w:rsid w:val="00E96BD7"/>
    <w:rsid w:val="00EA0DB1"/>
    <w:rsid w:val="00EA0EE9"/>
    <w:rsid w:val="00ED52CA"/>
    <w:rsid w:val="00ED5860"/>
    <w:rsid w:val="00EE35C9"/>
    <w:rsid w:val="00F05ECA"/>
    <w:rsid w:val="00F26E21"/>
    <w:rsid w:val="00F3566E"/>
    <w:rsid w:val="00F375FB"/>
    <w:rsid w:val="00F41AC1"/>
    <w:rsid w:val="00F4367A"/>
    <w:rsid w:val="00F445B1"/>
    <w:rsid w:val="00F45CD4"/>
    <w:rsid w:val="00F66DCA"/>
    <w:rsid w:val="00F74F53"/>
    <w:rsid w:val="00F7606D"/>
    <w:rsid w:val="00F81670"/>
    <w:rsid w:val="00F82024"/>
    <w:rsid w:val="00F865A3"/>
    <w:rsid w:val="00F95BC9"/>
    <w:rsid w:val="00FA624C"/>
    <w:rsid w:val="00FB3B71"/>
    <w:rsid w:val="00FD0FAC"/>
    <w:rsid w:val="00FD1DFA"/>
    <w:rsid w:val="00FD4966"/>
    <w:rsid w:val="00FE57DC"/>
    <w:rsid w:val="00FF095A"/>
    <w:rsid w:val="052A0BC4"/>
    <w:rsid w:val="09391021"/>
    <w:rsid w:val="162457B0"/>
    <w:rsid w:val="17202378"/>
    <w:rsid w:val="17370C7E"/>
    <w:rsid w:val="17784B2B"/>
    <w:rsid w:val="18165B27"/>
    <w:rsid w:val="1FC2B10D"/>
    <w:rsid w:val="229A5DA7"/>
    <w:rsid w:val="29304FA1"/>
    <w:rsid w:val="29E69D88"/>
    <w:rsid w:val="29FECE8B"/>
    <w:rsid w:val="2B7491D6"/>
    <w:rsid w:val="2B7E779A"/>
    <w:rsid w:val="3054E7B2"/>
    <w:rsid w:val="31F0B813"/>
    <w:rsid w:val="337FA3BB"/>
    <w:rsid w:val="3559DD4A"/>
    <w:rsid w:val="36C42936"/>
    <w:rsid w:val="39ADB43E"/>
    <w:rsid w:val="3A2FEAB7"/>
    <w:rsid w:val="3A90578F"/>
    <w:rsid w:val="3B94FAAC"/>
    <w:rsid w:val="3BCBBB18"/>
    <w:rsid w:val="3D2B2939"/>
    <w:rsid w:val="41775EEE"/>
    <w:rsid w:val="47A802DD"/>
    <w:rsid w:val="487E0AE7"/>
    <w:rsid w:val="4943D33E"/>
    <w:rsid w:val="54B12C3A"/>
    <w:rsid w:val="5AFDB4EF"/>
    <w:rsid w:val="5E5CE8C2"/>
    <w:rsid w:val="5F6EB6B8"/>
    <w:rsid w:val="61131E5F"/>
    <w:rsid w:val="6308C6D4"/>
    <w:rsid w:val="66AD6EA9"/>
    <w:rsid w:val="6C5AE51F"/>
    <w:rsid w:val="6E6414FB"/>
    <w:rsid w:val="707DE9A2"/>
    <w:rsid w:val="76CABDC3"/>
    <w:rsid w:val="78CCF657"/>
    <w:rsid w:val="7DA06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30E33D1"/>
  <w15:docId w15:val="{5B2BA3E5-8E0C-4EC8-9220-F637E856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2B6836"/>
    <w:pPr>
      <w:spacing w:before="240"/>
      <w:outlineLvl w:val="0"/>
    </w:pPr>
    <w:rPr>
      <w:b/>
    </w:rPr>
  </w:style>
  <w:style w:type="paragraph" w:styleId="Heading2">
    <w:name w:val="heading 2"/>
    <w:aliases w:val="Sub-heading"/>
    <w:basedOn w:val="Normal"/>
    <w:next w:val="Normal"/>
    <w:qFormat/>
    <w:rsid w:val="00F26E21"/>
    <w:pPr>
      <w:spacing w:before="1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ooterChar">
    <w:name w:val="Footer Char"/>
    <w:aliases w:val="zzFooter Char"/>
    <w:link w:val="Footer"/>
    <w:uiPriority w:val="99"/>
    <w:rsid w:val="004B11AE"/>
    <w:rPr>
      <w:color w:val="000000"/>
      <w:sz w:val="18"/>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2B6836"/>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styleId="TableColumns1">
    <w:name w:val="Table Columns 1"/>
    <w:basedOn w:val="TableNormal"/>
    <w:rsid w:val="00507ECC"/>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507ECC"/>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3">
    <w:name w:val="Table Grid 3"/>
    <w:basedOn w:val="TableNormal"/>
    <w:rsid w:val="00507ECC"/>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List-Accent1">
    <w:name w:val="Light List Accent 1"/>
    <w:basedOn w:val="TableNormal"/>
    <w:uiPriority w:val="61"/>
    <w:rsid w:val="00507EC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54129367">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12" ma:contentTypeDescription="Create a new document." ma:contentTypeScope="" ma:versionID="568d0cbb6f0b2b616a19d727d9970e2f">
  <xsd:schema xmlns:xsd="http://www.w3.org/2001/XMLSchema" xmlns:xs="http://www.w3.org/2001/XMLSchema" xmlns:p="http://schemas.microsoft.com/office/2006/metadata/properties" xmlns:ns2="fdb8f1d2-729e-4e17-b922-d1876d49c6d9" xmlns:ns3="ca0c6f25-960b-4ad0-86ba-4742c0ecca1e" targetNamespace="http://schemas.microsoft.com/office/2006/metadata/properties" ma:root="true" ma:fieldsID="0e0059c2c4a6cf6912f09ee4e3ca476b" ns2:_="" ns3:_="">
    <xsd:import namespace="fdb8f1d2-729e-4e17-b922-d1876d49c6d9"/>
    <xsd:import namespace="ca0c6f25-960b-4ad0-86ba-4742c0ecca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0c6f25-960b-4ad0-86ba-4742c0ecca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8C17C4-9508-4854-AF87-074B9DFE8D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4CEBDF-3A1E-4D76-BCF4-6DD491479C9F}">
  <ds:schemaRefs>
    <ds:schemaRef ds:uri="http://schemas.microsoft.com/sharepoint/v3/contenttype/forms"/>
  </ds:schemaRefs>
</ds:datastoreItem>
</file>

<file path=customXml/itemProps3.xml><?xml version="1.0" encoding="utf-8"?>
<ds:datastoreItem xmlns:ds="http://schemas.openxmlformats.org/officeDocument/2006/customXml" ds:itemID="{2A1D49AC-150B-4EE3-BA88-9023027FA5F6}">
  <ds:schemaRefs>
    <ds:schemaRef ds:uri="http://schemas.openxmlformats.org/officeDocument/2006/bibliography"/>
  </ds:schemaRefs>
</ds:datastoreItem>
</file>

<file path=customXml/itemProps4.xml><?xml version="1.0" encoding="utf-8"?>
<ds:datastoreItem xmlns:ds="http://schemas.openxmlformats.org/officeDocument/2006/customXml" ds:itemID="{EA572EE9-021B-426F-8E17-AECD66FB5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ca0c6f25-960b-4ad0-86ba-4742c0ecc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4241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OxCityCouncil Cabinet report</vt:lpstr>
    </vt:vector>
  </TitlesOfParts>
  <Company>Oxford City Council</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OxCityCouncil Cabinet report</dc:title>
  <dc:creator>jmitchell</dc:creator>
  <cp:keywords>OxCityCouncil Report</cp:keywords>
  <cp:lastModifiedBy>BROWN Lucy</cp:lastModifiedBy>
  <cp:revision>2</cp:revision>
  <cp:lastPrinted>2015-07-03T13:50:00Z</cp:lastPrinted>
  <dcterms:created xsi:type="dcterms:W3CDTF">2023-11-24T14:35:00Z</dcterms:created>
  <dcterms:modified xsi:type="dcterms:W3CDTF">2023-11-24T14:35:00Z</dcterms:modified>
  <cp:category>Report to Council or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